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86" w:rsidRPr="00790F86" w:rsidRDefault="00790F86" w:rsidP="00790F8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790F86">
        <w:rPr>
          <w:rFonts w:ascii="Times New Roman" w:hAnsi="Times New Roman" w:cs="Times New Roman"/>
          <w:b/>
          <w:sz w:val="28"/>
          <w:szCs w:val="28"/>
        </w:rPr>
        <w:t>Семинарлар</w:t>
      </w:r>
      <w:proofErr w:type="spellEnd"/>
    </w:p>
    <w:p w:rsidR="00790F86" w:rsidRPr="00790F86" w:rsidRDefault="00790F86" w:rsidP="00790F86">
      <w:pPr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790F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1.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Барлық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семинарлар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белгіленген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мерзімге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дейін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аяқталуы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сенбі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23.00).</w:t>
      </w:r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2.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4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бөлімнен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тұруы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кіріспе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бөлім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қорытынды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пайдаланылған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дереккөздер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тізімі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(кем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дегенде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3-4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дереккөз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>).</w:t>
      </w:r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жұмыстарды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безендіруге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қойылатын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талаптар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, KZ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шрифті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қаріп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өлшемі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- 12pt;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жол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аралықтары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абзацтың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шегінісі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- 1 см;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портреттік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бағдар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>.</w:t>
      </w:r>
    </w:p>
    <w:p w:rsidR="00790F86" w:rsidRPr="00790F86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4.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Жазбаша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жұмыстың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бірегейлігі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75% -дан кем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болмауы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790F86" w:rsidP="00790F8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90F86"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Белгіленген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мерзімнен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кейін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тапсырылған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плагиаттың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жоғары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пайызы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бар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жұмыстар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автоматты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түрде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color w:val="FF0000"/>
          <w:sz w:val="28"/>
          <w:szCs w:val="24"/>
        </w:rPr>
        <w:t>жойылады</w:t>
      </w:r>
      <w:proofErr w:type="spellEnd"/>
      <w:r w:rsidRPr="00790F86">
        <w:rPr>
          <w:rFonts w:ascii="Times New Roman" w:hAnsi="Times New Roman" w:cs="Times New Roman"/>
          <w:color w:val="FF0000"/>
          <w:sz w:val="28"/>
          <w:szCs w:val="24"/>
        </w:rPr>
        <w:t>!</w:t>
      </w:r>
    </w:p>
    <w:p w:rsidR="00790F86" w:rsidRPr="00735970" w:rsidRDefault="00790F86" w:rsidP="00790F8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1.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тұжырымдамасының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генезисі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эссе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Студент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шетелдік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Шейгал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Лассуэль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Гуревит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М.,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Блумлер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Дж. Р.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басқалар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орыс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(Богданов, Баранов, Казакевич, Виноградов, Соловьев,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Шелестюк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теориялары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тұжырымдамаларын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ерекшеліктерін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сипаттаңыз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қорытындыларымен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келісесіз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</w:t>
      </w:r>
      <w:r>
        <w:rPr>
          <w:rFonts w:ascii="Times New Roman" w:hAnsi="Times New Roman" w:cs="Times New Roman"/>
          <w:bCs/>
          <w:sz w:val="28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келіспейсіз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790F86">
        <w:rPr>
          <w:rFonts w:ascii="Times New Roman" w:hAnsi="Times New Roman" w:cs="Times New Roman"/>
          <w:bCs/>
          <w:sz w:val="28"/>
          <w:szCs w:val="24"/>
        </w:rPr>
        <w:t>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ақылға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қонымды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жауап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2.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түрлері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формалары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пікірталас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түрлері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формаларын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түрлері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формаларының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оқып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үйрену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  <w:r w:rsidR="00DA0073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3.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модельдері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әңгіме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өтеді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модельдерінің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Лассуэлл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Дж.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Хербнер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, Шеннон-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Уивер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В.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Шрамм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К.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Синн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Телерадио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тарату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Диалог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Консалтинг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Тіркеу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үйренуі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заманауи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модельдің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өзектілігін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D2515E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proofErr w:type="spellStart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="00790F86"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4.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Қазіргі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заманғы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бұқаралық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коммуникацияны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талдаудың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теориялық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негіздері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әңгімелесу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90F86" w:rsidRPr="00790F86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="00790F86"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Студент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шетелдік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орыс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қазақстандық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зерттеушілердің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қазіргі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заманғы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бұқаралық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коммуникация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теориялары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тұжырымдамаларын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ерекшеліктерін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сипаттаңыз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зерттеушінің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қорытындыларымен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келісесіз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келіспейсіз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бе</w:t>
      </w:r>
      <w:proofErr w:type="spellEnd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790F86">
        <w:rPr>
          <w:rFonts w:ascii="Times New Roman" w:hAnsi="Times New Roman" w:cs="Times New Roman"/>
          <w:bCs/>
          <w:sz w:val="28"/>
          <w:szCs w:val="24"/>
        </w:rPr>
        <w:t>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ақылға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қонымды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жауап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Семинарға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арналған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5.</w:t>
      </w:r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Бейресми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қарым-қатынас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: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сыбыстар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мифтер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күрес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элементі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ретінде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дискуссия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қауесеттің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рөлін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екеуінің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таңдаңыз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: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Біздің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кезіміздегі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тарих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кезеңіндегі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қауесеттерге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салыстырмалы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жасаңыз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кеңестік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кезең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19 ғ.,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Белгілі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қолдана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отырып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сыбыстың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таралуын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қауесеттермен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күресу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әдістерін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зерттеңіз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міндеті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6.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науқанын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жүргізудің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жалпы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принциптері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дискуссия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науқанының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қағидаларын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оқып-үйренулері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белгілі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қолдана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отырып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науқанының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кейбір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қағидаттарының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өзектілігін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жарысы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2010-2020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жылдар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кезеңінде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790F86">
        <w:rPr>
          <w:rFonts w:ascii="Times New Roman" w:hAnsi="Times New Roman" w:cs="Times New Roman"/>
          <w:b/>
          <w:bCs/>
          <w:sz w:val="28"/>
          <w:szCs w:val="24"/>
        </w:rPr>
        <w:t xml:space="preserve"> 7.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Мемлекеттік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қатынастарға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келтіріңіз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, конференция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GR-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дің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рөлін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</w:t>
      </w:r>
    </w:p>
    <w:p w:rsidR="00790F86" w:rsidRPr="00790F86" w:rsidRDefault="00790F86" w:rsidP="00790F86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90F86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мемлекеттің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GR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өмірінің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мысалдарын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қарастырыңыз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. (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Бірдей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мысалдар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790F86">
        <w:rPr>
          <w:rFonts w:ascii="Times New Roman" w:hAnsi="Times New Roman" w:cs="Times New Roman"/>
          <w:bCs/>
          <w:sz w:val="28"/>
          <w:szCs w:val="24"/>
        </w:rPr>
        <w:t>оқылмайды</w:t>
      </w:r>
      <w:proofErr w:type="spellEnd"/>
      <w:r w:rsidRPr="00790F86">
        <w:rPr>
          <w:rFonts w:ascii="Times New Roman" w:hAnsi="Times New Roman" w:cs="Times New Roman"/>
          <w:bCs/>
          <w:sz w:val="28"/>
          <w:szCs w:val="24"/>
        </w:rPr>
        <w:t>).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8.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>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рөлі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конференция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мысалын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пайдаланып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қолданылған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оқып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үйренулері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C)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қолданылған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тиімділігін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қандай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технологияларын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тиімдірек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қолдануға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болатындығы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туралы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көзқарасыңызды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Семинарға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арналған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9. </w:t>
      </w:r>
      <w:r w:rsidRPr="0056630D">
        <w:rPr>
          <w:rFonts w:ascii="Times New Roman" w:hAnsi="Times New Roman" w:cs="Times New Roman"/>
          <w:bCs/>
          <w:sz w:val="28"/>
          <w:szCs w:val="24"/>
        </w:rPr>
        <w:t>«</w:t>
      </w:r>
      <w:r w:rsidRPr="0056630D">
        <w:rPr>
          <w:rFonts w:ascii="Times New Roman" w:hAnsi="Times New Roman" w:cs="Times New Roman"/>
          <w:bCs/>
          <w:sz w:val="28"/>
          <w:szCs w:val="24"/>
          <w:lang w:val="kk-KZ"/>
        </w:rPr>
        <w:t>БҚӘ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қамтуы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үшін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мақсатты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таңдау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proofErr w:type="gram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«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сүзу</w:t>
      </w:r>
      <w:proofErr w:type="spellEnd"/>
      <w:proofErr w:type="gram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»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: Д. Уайт, Дж.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Макналли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Дж.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Галтунга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М. Руге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модельдері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әңгімелесу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жалға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беріледі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A)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модельдердің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бірін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қарастыруы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C)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таңдалған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модельдің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қазіргі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коммуникациядағы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өзектілігін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дәлелдеуі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шығаруы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жұмысы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10</w:t>
      </w: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Батыс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Шығыс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Еуропа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Америка, Азия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елдерінің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»: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салыстырмалы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іскерлік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ойын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қабылданады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Жұмысқа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қойылатын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талаптар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Жағдай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: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жаңарту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кезінде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басқа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елдің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тәжірибесін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жоспарлап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отыр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Ол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үшін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Жоғарыда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аталған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елдердің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үкіметінің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»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тәжірибесін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қарастырыңыз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жағымды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жағымсыз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жақтары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).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электрондық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үкіметімен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салыстырыңыз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>3. e-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gov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жүйесін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жақсарту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үшін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қолдануға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болатын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аспектілерді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анықтаңыз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(e-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gov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жүйесін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жетілдіру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тиімділігін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дәлелдеу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жоққа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шығару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)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11.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соғыстардың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сыртқы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аспектілері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Мемлекеттің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қауіпсіздігіне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төндіреді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пресс-конференция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Республикасының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қауіпсіздігіне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заманауи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қатерлерді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қарастыру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;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Республикасының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ақпараттық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қауіпсіздігін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нығайту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бойынша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идеяларыңызды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/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бағдарламаларыңызды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/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ұсыныстарыңызды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ұсыныңыз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 12.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PR</w:t>
      </w:r>
      <w:r>
        <w:rPr>
          <w:rFonts w:ascii="Times New Roman" w:hAnsi="Times New Roman" w:cs="Times New Roman"/>
          <w:bCs/>
          <w:sz w:val="28"/>
          <w:szCs w:val="24"/>
        </w:rPr>
        <w:t>.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 Семинар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конференция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Жағдай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 «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науқандарындағы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PR»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проблемасына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арналған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конференция.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министрліктер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медиа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кампаниялар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науқандарындағы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пиар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зерттеу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нақты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мысалмен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).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науқандарында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пиарды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қолдану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этикасы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көтеру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3.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Сайлау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науқанында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қара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пиармен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күресу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мәселесін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көтеру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Семинар </w:t>
      </w:r>
      <w:proofErr w:type="spellStart"/>
      <w:r w:rsidRPr="0056630D">
        <w:rPr>
          <w:rFonts w:ascii="Times New Roman" w:hAnsi="Times New Roman" w:cs="Times New Roman"/>
          <w:b/>
          <w:bCs/>
          <w:sz w:val="28"/>
          <w:szCs w:val="24"/>
        </w:rPr>
        <w:t>жұмысы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13</w:t>
      </w:r>
      <w:r w:rsidRPr="0056630D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56630D">
        <w:rPr>
          <w:rFonts w:ascii="Times New Roman" w:hAnsi="Times New Roman" w:cs="Times New Roman"/>
          <w:bCs/>
          <w:sz w:val="28"/>
          <w:szCs w:val="24"/>
        </w:rPr>
        <w:t xml:space="preserve">90-жылдардағы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барқыт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төңкерістерінің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технологиялық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аспектілері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нәтижелері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. Семинар -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дөңгелек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үстел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халықаралық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ұйымдар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билік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азаматтық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қоғам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өкілдері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, элита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т.б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Дөңгелек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үстел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сұрақтары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: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Барқыт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технологиялары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түсті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революция): теория мен практика.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>2. ҚР-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дағы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түсті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революция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қаупі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56630D" w:rsidRPr="0056630D" w:rsidRDefault="0056630D" w:rsidP="0056630D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6630D">
        <w:rPr>
          <w:rFonts w:ascii="Times New Roman" w:hAnsi="Times New Roman" w:cs="Times New Roman"/>
          <w:bCs/>
          <w:sz w:val="28"/>
          <w:szCs w:val="24"/>
        </w:rPr>
        <w:t xml:space="preserve">3.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Қоғам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мен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мемлекетті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қорғау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56630D">
        <w:rPr>
          <w:rFonts w:ascii="Times New Roman" w:hAnsi="Times New Roman" w:cs="Times New Roman"/>
          <w:bCs/>
          <w:sz w:val="28"/>
          <w:szCs w:val="24"/>
        </w:rPr>
        <w:t>әдістері</w:t>
      </w:r>
      <w:proofErr w:type="spellEnd"/>
      <w:r w:rsidRPr="0056630D">
        <w:rPr>
          <w:rFonts w:ascii="Times New Roman" w:hAnsi="Times New Roman" w:cs="Times New Roman"/>
          <w:bCs/>
          <w:sz w:val="28"/>
          <w:szCs w:val="24"/>
        </w:rPr>
        <w:t>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14. </w:t>
      </w:r>
      <w:r w:rsidRPr="00476F1C">
        <w:rPr>
          <w:rFonts w:ascii="Times New Roman" w:hAnsi="Times New Roman" w:cs="Times New Roman"/>
          <w:bCs/>
          <w:sz w:val="28"/>
          <w:szCs w:val="24"/>
        </w:rPr>
        <w:t>PR-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қолданылуына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салыстырмалы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жүргізіңіз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әлемнің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2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немесе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3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елі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).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Семинарды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талқылау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6F1C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Студенттер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PR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1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дамыған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1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дамушы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елде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қолданылуын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салыстыруы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керек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күшті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әлсіз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жақтары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).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6F1C">
        <w:rPr>
          <w:rFonts w:ascii="Times New Roman" w:hAnsi="Times New Roman" w:cs="Times New Roman"/>
          <w:bCs/>
          <w:sz w:val="28"/>
          <w:szCs w:val="24"/>
        </w:rPr>
        <w:t xml:space="preserve">2. PR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технологиясының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артықшылықтарын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оларды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Қазақстан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Республикасында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қолданудың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тиімділігін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анықтаңыз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476F1C" w:rsidRPr="00476F1C" w:rsidRDefault="00476F1C" w:rsidP="00476F1C">
      <w:pPr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Семинарлық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/>
          <w:bCs/>
          <w:sz w:val="28"/>
          <w:szCs w:val="24"/>
        </w:rPr>
        <w:t>тапсырма</w:t>
      </w:r>
      <w:proofErr w:type="spellEnd"/>
      <w:r w:rsidRPr="00476F1C">
        <w:rPr>
          <w:rFonts w:ascii="Times New Roman" w:hAnsi="Times New Roman" w:cs="Times New Roman"/>
          <w:b/>
          <w:bCs/>
          <w:sz w:val="28"/>
          <w:szCs w:val="24"/>
        </w:rPr>
        <w:t xml:space="preserve"> 15.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Қазақстандық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саяси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коммуникацияға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контент-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талдау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жүргізу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. Семинар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жеке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пікірталас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түрінде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өткізіледі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477995" w:rsidRPr="00476F1C" w:rsidRDefault="00476F1C" w:rsidP="00476F1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76F1C">
        <w:rPr>
          <w:rFonts w:ascii="Times New Roman" w:hAnsi="Times New Roman" w:cs="Times New Roman"/>
          <w:bCs/>
          <w:sz w:val="28"/>
          <w:szCs w:val="24"/>
        </w:rPr>
        <w:t xml:space="preserve">1. Студент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кез-келген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бұқаралық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ақпарат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құралын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(газет,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телеарна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, радио)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таңдай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алады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,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және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қызығушылық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тудыратын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негізгі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тақырыпты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анықтағаннан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кейін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контент-анализ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жүргізе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476F1C">
        <w:rPr>
          <w:rFonts w:ascii="Times New Roman" w:hAnsi="Times New Roman" w:cs="Times New Roman"/>
          <w:bCs/>
          <w:sz w:val="28"/>
          <w:szCs w:val="24"/>
        </w:rPr>
        <w:t>алады</w:t>
      </w:r>
      <w:proofErr w:type="spellEnd"/>
      <w:r w:rsidRPr="00476F1C">
        <w:rPr>
          <w:rFonts w:ascii="Times New Roman" w:hAnsi="Times New Roman" w:cs="Times New Roman"/>
          <w:bCs/>
          <w:sz w:val="28"/>
          <w:szCs w:val="24"/>
        </w:rPr>
        <w:t>.</w:t>
      </w:r>
    </w:p>
    <w:p w:rsidR="007005AC" w:rsidRPr="00476F1C" w:rsidRDefault="007005AC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47F"/>
    <w:multiLevelType w:val="hybridMultilevel"/>
    <w:tmpl w:val="53D4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69F1"/>
    <w:multiLevelType w:val="hybridMultilevel"/>
    <w:tmpl w:val="28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A3085"/>
    <w:multiLevelType w:val="hybridMultilevel"/>
    <w:tmpl w:val="1ADE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DD09ED"/>
    <w:multiLevelType w:val="hybridMultilevel"/>
    <w:tmpl w:val="FA4267B4"/>
    <w:lvl w:ilvl="0" w:tplc="75F4977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3CC641DF"/>
    <w:multiLevelType w:val="hybridMultilevel"/>
    <w:tmpl w:val="90C2D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45797"/>
    <w:multiLevelType w:val="hybridMultilevel"/>
    <w:tmpl w:val="8D46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E585B"/>
    <w:multiLevelType w:val="hybridMultilevel"/>
    <w:tmpl w:val="3D1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E1B43"/>
    <w:multiLevelType w:val="hybridMultilevel"/>
    <w:tmpl w:val="D6CA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185FA7"/>
    <w:rsid w:val="00223BB7"/>
    <w:rsid w:val="0027101F"/>
    <w:rsid w:val="002C5F88"/>
    <w:rsid w:val="002F4898"/>
    <w:rsid w:val="003D5F45"/>
    <w:rsid w:val="00415AC7"/>
    <w:rsid w:val="00476F1C"/>
    <w:rsid w:val="00477995"/>
    <w:rsid w:val="0056630D"/>
    <w:rsid w:val="005669B3"/>
    <w:rsid w:val="005C009D"/>
    <w:rsid w:val="005C1312"/>
    <w:rsid w:val="00664254"/>
    <w:rsid w:val="007005AC"/>
    <w:rsid w:val="00735970"/>
    <w:rsid w:val="00775D20"/>
    <w:rsid w:val="00790F86"/>
    <w:rsid w:val="009537E5"/>
    <w:rsid w:val="00995805"/>
    <w:rsid w:val="00A145D9"/>
    <w:rsid w:val="00AD2455"/>
    <w:rsid w:val="00AE4265"/>
    <w:rsid w:val="00BB1D08"/>
    <w:rsid w:val="00C917A4"/>
    <w:rsid w:val="00D2515E"/>
    <w:rsid w:val="00DA0073"/>
    <w:rsid w:val="00DE3FB6"/>
    <w:rsid w:val="00E61807"/>
    <w:rsid w:val="00E623B8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Абжаппарова Айгуль</cp:lastModifiedBy>
  <cp:revision>2</cp:revision>
  <dcterms:created xsi:type="dcterms:W3CDTF">2021-08-18T04:47:00Z</dcterms:created>
  <dcterms:modified xsi:type="dcterms:W3CDTF">2021-08-18T04:47:00Z</dcterms:modified>
</cp:coreProperties>
</file>